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7D" w:rsidRDefault="00FD037D" w:rsidP="008A349E">
      <w:pPr>
        <w:tabs>
          <w:tab w:val="left" w:pos="900"/>
        </w:tabs>
        <w:jc w:val="center"/>
        <w:rPr>
          <w:rFonts w:ascii="GalanoGrotesque-SemiBold" w:hAnsi="GalanoGrotesque-SemiBold" w:cs="Arial"/>
        </w:rPr>
      </w:pPr>
      <w:bookmarkStart w:id="0" w:name="_GoBack"/>
      <w:bookmarkEnd w:id="0"/>
    </w:p>
    <w:p w:rsidR="00713898" w:rsidRPr="00713898" w:rsidRDefault="008A349E" w:rsidP="008A349E">
      <w:pPr>
        <w:tabs>
          <w:tab w:val="left" w:pos="900"/>
        </w:tabs>
        <w:jc w:val="center"/>
        <w:rPr>
          <w:rFonts w:ascii="GalanoGrotesque-SemiBold" w:hAnsi="GalanoGrotesque-SemiBold" w:cs="Arial"/>
        </w:rPr>
      </w:pPr>
      <w:r w:rsidRPr="00713898">
        <w:rPr>
          <w:rFonts w:ascii="GalanoGrotesque-SemiBold" w:hAnsi="GalanoGrotesque-SemiBold" w:cs="Arial"/>
        </w:rPr>
        <w:t>PASIVOS LABORALES CONTINGENTES</w:t>
      </w:r>
    </w:p>
    <w:p w:rsidR="008A349E" w:rsidRPr="00713898" w:rsidRDefault="001C2F1D" w:rsidP="008A349E">
      <w:pPr>
        <w:tabs>
          <w:tab w:val="left" w:pos="900"/>
        </w:tabs>
        <w:jc w:val="center"/>
        <w:rPr>
          <w:rFonts w:ascii="GalanoGrotesque-SemiBold" w:hAnsi="GalanoGrotesque-SemiBold" w:cs="Arial"/>
        </w:rPr>
      </w:pPr>
      <w:r>
        <w:rPr>
          <w:rFonts w:ascii="GalanoGrotesque-SemiBold" w:hAnsi="GalanoGrotesque-SemiBold" w:cs="Arial"/>
        </w:rPr>
        <w:t>FEBRERO 2021</w:t>
      </w:r>
    </w:p>
    <w:tbl>
      <w:tblPr>
        <w:tblStyle w:val="Tablaconcuadrcula1"/>
        <w:tblpPr w:leftFromText="141" w:rightFromText="141" w:vertAnchor="page" w:horzAnchor="margin" w:tblpXSpec="center" w:tblpY="2956"/>
        <w:tblW w:w="11194" w:type="dxa"/>
        <w:tblLook w:val="04A0" w:firstRow="1" w:lastRow="0" w:firstColumn="1" w:lastColumn="0" w:noHBand="0" w:noVBand="1"/>
      </w:tblPr>
      <w:tblGrid>
        <w:gridCol w:w="570"/>
        <w:gridCol w:w="1985"/>
        <w:gridCol w:w="1409"/>
        <w:gridCol w:w="5769"/>
        <w:gridCol w:w="1461"/>
      </w:tblGrid>
      <w:tr w:rsidR="00FD037D" w:rsidRPr="00713898" w:rsidTr="00FD037D">
        <w:trPr>
          <w:trHeight w:val="564"/>
        </w:trPr>
        <w:tc>
          <w:tcPr>
            <w:tcW w:w="570" w:type="dxa"/>
            <w:shd w:val="clear" w:color="auto" w:fill="FFF2CC" w:themeFill="accent4" w:themeFillTint="33"/>
            <w:vAlign w:val="center"/>
          </w:tcPr>
          <w:p w:rsidR="00FD037D" w:rsidRPr="00713898" w:rsidRDefault="00FD037D" w:rsidP="00FD037D">
            <w:pPr>
              <w:spacing w:line="276" w:lineRule="auto"/>
              <w:jc w:val="center"/>
              <w:rPr>
                <w:rFonts w:ascii="GalanoGrotesque-Regular" w:hAnsi="GalanoGrotesque-Regular" w:cs="Arial"/>
                <w:b/>
                <w:sz w:val="18"/>
                <w:szCs w:val="18"/>
              </w:rPr>
            </w:pPr>
            <w:r w:rsidRPr="00713898">
              <w:rPr>
                <w:rFonts w:ascii="GalanoGrotesque-Regular" w:hAnsi="GalanoGrotesque-Regular" w:cs="Arial"/>
                <w:b/>
                <w:sz w:val="18"/>
                <w:szCs w:val="18"/>
              </w:rPr>
              <w:t>No.</w:t>
            </w:r>
          </w:p>
        </w:tc>
        <w:tc>
          <w:tcPr>
            <w:tcW w:w="1985" w:type="dxa"/>
            <w:shd w:val="clear" w:color="auto" w:fill="FFF2CC" w:themeFill="accent4" w:themeFillTint="33"/>
            <w:vAlign w:val="center"/>
          </w:tcPr>
          <w:p w:rsidR="00FD037D" w:rsidRPr="00713898" w:rsidRDefault="00FD037D" w:rsidP="00FD037D">
            <w:pPr>
              <w:spacing w:line="276" w:lineRule="auto"/>
              <w:jc w:val="center"/>
              <w:rPr>
                <w:rFonts w:ascii="GalanoGrotesque-Regular" w:hAnsi="GalanoGrotesque-Regular" w:cs="Arial"/>
                <w:b/>
                <w:sz w:val="18"/>
                <w:szCs w:val="18"/>
              </w:rPr>
            </w:pPr>
            <w:r w:rsidRPr="00713898">
              <w:rPr>
                <w:rFonts w:ascii="GalanoGrotesque-Regular" w:hAnsi="GalanoGrotesque-Regular" w:cs="Arial"/>
                <w:b/>
                <w:sz w:val="18"/>
                <w:szCs w:val="18"/>
              </w:rPr>
              <w:t>PARTE QUE DEMANDA</w:t>
            </w:r>
          </w:p>
        </w:tc>
        <w:tc>
          <w:tcPr>
            <w:tcW w:w="1409" w:type="dxa"/>
            <w:shd w:val="clear" w:color="auto" w:fill="FFF2CC" w:themeFill="accent4" w:themeFillTint="33"/>
            <w:vAlign w:val="center"/>
          </w:tcPr>
          <w:p w:rsidR="00FD037D" w:rsidRPr="00713898" w:rsidRDefault="00FD037D" w:rsidP="00FD037D">
            <w:pPr>
              <w:spacing w:line="276" w:lineRule="auto"/>
              <w:jc w:val="center"/>
              <w:rPr>
                <w:rFonts w:ascii="GalanoGrotesque-Regular" w:hAnsi="GalanoGrotesque-Regular" w:cs="Arial"/>
                <w:b/>
                <w:sz w:val="18"/>
                <w:szCs w:val="18"/>
              </w:rPr>
            </w:pPr>
            <w:r w:rsidRPr="00713898">
              <w:rPr>
                <w:rFonts w:ascii="GalanoGrotesque-Regular" w:hAnsi="GalanoGrotesque-Regular" w:cs="Arial"/>
                <w:b/>
                <w:sz w:val="18"/>
                <w:szCs w:val="18"/>
              </w:rPr>
              <w:t>EXPEDIENTE</w:t>
            </w:r>
          </w:p>
        </w:tc>
        <w:tc>
          <w:tcPr>
            <w:tcW w:w="5769" w:type="dxa"/>
            <w:shd w:val="clear" w:color="auto" w:fill="FFF2CC" w:themeFill="accent4" w:themeFillTint="33"/>
            <w:vAlign w:val="center"/>
          </w:tcPr>
          <w:p w:rsidR="00FD037D" w:rsidRPr="00713898" w:rsidRDefault="00FD037D" w:rsidP="00FD037D">
            <w:pPr>
              <w:spacing w:line="276" w:lineRule="auto"/>
              <w:jc w:val="center"/>
              <w:rPr>
                <w:rFonts w:ascii="GalanoGrotesque-Regular" w:hAnsi="GalanoGrotesque-Regular" w:cs="Arial"/>
                <w:b/>
                <w:sz w:val="18"/>
                <w:szCs w:val="18"/>
              </w:rPr>
            </w:pPr>
            <w:r w:rsidRPr="00713898">
              <w:rPr>
                <w:rFonts w:ascii="GalanoGrotesque-Regular" w:hAnsi="GalanoGrotesque-Regular" w:cs="Arial"/>
                <w:b/>
                <w:sz w:val="18"/>
                <w:szCs w:val="18"/>
              </w:rPr>
              <w:t>ESTATUS ACTUAL</w:t>
            </w:r>
          </w:p>
        </w:tc>
        <w:tc>
          <w:tcPr>
            <w:tcW w:w="1461" w:type="dxa"/>
            <w:shd w:val="clear" w:color="auto" w:fill="FFF2CC" w:themeFill="accent4" w:themeFillTint="33"/>
            <w:vAlign w:val="center"/>
          </w:tcPr>
          <w:p w:rsidR="00FD037D" w:rsidRPr="00713898" w:rsidRDefault="00FD037D" w:rsidP="00FD037D">
            <w:pPr>
              <w:spacing w:line="276" w:lineRule="auto"/>
              <w:jc w:val="center"/>
              <w:rPr>
                <w:rFonts w:ascii="GalanoGrotesque-Regular" w:hAnsi="GalanoGrotesque-Regular" w:cs="Arial"/>
                <w:b/>
                <w:sz w:val="18"/>
                <w:szCs w:val="18"/>
              </w:rPr>
            </w:pPr>
            <w:r w:rsidRPr="00713898">
              <w:rPr>
                <w:rFonts w:ascii="GalanoGrotesque-Regular" w:hAnsi="GalanoGrotesque-Regular" w:cs="Arial"/>
                <w:b/>
                <w:sz w:val="18"/>
                <w:szCs w:val="18"/>
              </w:rPr>
              <w:t xml:space="preserve">MONTO </w:t>
            </w:r>
          </w:p>
        </w:tc>
      </w:tr>
      <w:tr w:rsidR="00FD037D" w:rsidRPr="00713898" w:rsidTr="00FD037D">
        <w:trPr>
          <w:trHeight w:val="2513"/>
        </w:trPr>
        <w:tc>
          <w:tcPr>
            <w:tcW w:w="570" w:type="dxa"/>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r w:rsidRPr="00713898">
              <w:rPr>
                <w:rFonts w:ascii="GalanoGrotesque-Regular" w:hAnsi="GalanoGrotesque-Regular" w:cs="Arial"/>
                <w:sz w:val="18"/>
                <w:szCs w:val="18"/>
              </w:rPr>
              <w:t>1</w:t>
            </w:r>
          </w:p>
        </w:tc>
        <w:tc>
          <w:tcPr>
            <w:tcW w:w="1985" w:type="dxa"/>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r w:rsidRPr="00713898">
              <w:rPr>
                <w:rFonts w:ascii="GalanoGrotesque-Regular" w:hAnsi="GalanoGrotesque-Regular" w:cs="Arial"/>
                <w:sz w:val="18"/>
                <w:szCs w:val="18"/>
              </w:rPr>
              <w:t>Marcela Balboa Ochoa VS IVEM</w:t>
            </w:r>
          </w:p>
        </w:tc>
        <w:tc>
          <w:tcPr>
            <w:tcW w:w="1409" w:type="dxa"/>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r w:rsidRPr="00713898">
              <w:rPr>
                <w:rFonts w:ascii="GalanoGrotesque-Regular" w:hAnsi="GalanoGrotesque-Regular" w:cs="Arial"/>
                <w:sz w:val="18"/>
                <w:szCs w:val="18"/>
              </w:rPr>
              <w:t>644/2013</w:t>
            </w:r>
          </w:p>
        </w:tc>
        <w:tc>
          <w:tcPr>
            <w:tcW w:w="5769" w:type="dxa"/>
            <w:shd w:val="clear" w:color="auto" w:fill="FFFFFF" w:themeFill="background1"/>
          </w:tcPr>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 El laudo que dicto la Junta Especial de la Federal de Conciliación y Arbitraje con fecha 08 de septiembre 2020.</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-Se condena al IVEM al pago de salarios caídos desde el despido a la fecha, actualmente por la cantidad de $1,350,000.00 (Un millón trescientos cincuenta mil pesos).</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 Se han promovido diversos amparos por irregularidades en el Laudo, lo más grave es la inaplicabilidad de la Reforma Constitucional del año 2012, en el sentido de computar solo un año de salarios caídos.</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Actualmente con fecha 02 de diciembre de 2020, se presentó nuevo amparo.</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 xml:space="preserve"> -No se puede determinar en qué mes del año 2021 pudiera dictarse la correspondiente resolución de amparo.</w:t>
            </w:r>
          </w:p>
        </w:tc>
        <w:tc>
          <w:tcPr>
            <w:tcW w:w="1461" w:type="dxa"/>
            <w:shd w:val="clear" w:color="auto" w:fill="FFFFFF" w:themeFill="background1"/>
            <w:vAlign w:val="center"/>
          </w:tcPr>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$1,350,000.00</w:t>
            </w:r>
          </w:p>
        </w:tc>
      </w:tr>
      <w:tr w:rsidR="00FD037D" w:rsidRPr="00713898" w:rsidTr="0072027F">
        <w:trPr>
          <w:trHeight w:val="718"/>
        </w:trPr>
        <w:tc>
          <w:tcPr>
            <w:tcW w:w="570" w:type="dxa"/>
            <w:tcBorders>
              <w:bottom w:val="single" w:sz="4" w:space="0" w:color="auto"/>
            </w:tcBorders>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r w:rsidRPr="00713898">
              <w:rPr>
                <w:rFonts w:ascii="GalanoGrotesque-Regular" w:hAnsi="GalanoGrotesque-Regular" w:cs="Arial"/>
                <w:sz w:val="18"/>
                <w:szCs w:val="18"/>
              </w:rPr>
              <w:t>2</w:t>
            </w:r>
          </w:p>
        </w:tc>
        <w:tc>
          <w:tcPr>
            <w:tcW w:w="1985" w:type="dxa"/>
            <w:tcBorders>
              <w:bottom w:val="single" w:sz="4" w:space="0" w:color="auto"/>
            </w:tcBorders>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r w:rsidRPr="00713898">
              <w:rPr>
                <w:rFonts w:ascii="GalanoGrotesque-Regular" w:hAnsi="GalanoGrotesque-Regular" w:cs="Arial"/>
                <w:sz w:val="18"/>
                <w:szCs w:val="18"/>
              </w:rPr>
              <w:t>Alejandro Ávila Mendiola</w:t>
            </w:r>
          </w:p>
        </w:tc>
        <w:tc>
          <w:tcPr>
            <w:tcW w:w="1409" w:type="dxa"/>
            <w:tcBorders>
              <w:bottom w:val="single" w:sz="4" w:space="0" w:color="auto"/>
            </w:tcBorders>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r w:rsidRPr="00713898">
              <w:rPr>
                <w:rFonts w:ascii="GalanoGrotesque-Regular" w:hAnsi="GalanoGrotesque-Regular" w:cs="Arial"/>
                <w:sz w:val="18"/>
                <w:szCs w:val="18"/>
              </w:rPr>
              <w:t>3b-1235/2017 Junta Especial número Tres</w:t>
            </w:r>
          </w:p>
        </w:tc>
        <w:tc>
          <w:tcPr>
            <w:tcW w:w="5769" w:type="dxa"/>
            <w:shd w:val="clear" w:color="auto" w:fill="FFFFFF" w:themeFill="background1"/>
          </w:tcPr>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-Este exfuncionario demando laboralmente a este Instituto, meses después falleció.</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 xml:space="preserve">-En juicio en coordinación con la Consejería Jurídica se logró que la Junta se declarará incompetente y con fecha 30 de agosto de 2017, ordenó remitir el expediente al Tribunal de Conciliación y Arbitraje del Estado. </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-Pudiera requerirse de recurso para el caso de que este Instituto determinará negociar con los herederos y estos quisieran hacerlo.</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-El trabajador falleció antes del primer año del juicio por lo que no puede correr salarios caídos posteriores al fallecimiento.</w:t>
            </w:r>
          </w:p>
          <w:p w:rsidR="00FD037D" w:rsidRPr="00713898" w:rsidRDefault="00FD037D" w:rsidP="00FD037D">
            <w:pPr>
              <w:spacing w:line="276" w:lineRule="auto"/>
              <w:jc w:val="both"/>
              <w:rPr>
                <w:rFonts w:ascii="GalanoGrotesque-Regular" w:hAnsi="GalanoGrotesque-Regular" w:cs="Arial"/>
                <w:sz w:val="18"/>
                <w:szCs w:val="18"/>
              </w:rPr>
            </w:pPr>
            <w:r w:rsidRPr="00713898">
              <w:rPr>
                <w:rFonts w:ascii="GalanoGrotesque-Regular" w:hAnsi="GalanoGrotesque-Regular" w:cs="Arial"/>
                <w:sz w:val="18"/>
                <w:szCs w:val="18"/>
              </w:rPr>
              <w:t>-Continúa pendiente de que sea emplazado a juicio el IVEM por falta de gestión por parte de la representación legal.</w:t>
            </w:r>
          </w:p>
        </w:tc>
        <w:tc>
          <w:tcPr>
            <w:tcW w:w="1461" w:type="dxa"/>
            <w:shd w:val="clear" w:color="auto" w:fill="FFFFFF" w:themeFill="background1"/>
          </w:tcPr>
          <w:p w:rsidR="00FD037D" w:rsidRPr="00713898" w:rsidRDefault="00FD037D" w:rsidP="00FD037D">
            <w:pPr>
              <w:spacing w:line="276" w:lineRule="auto"/>
              <w:jc w:val="both"/>
              <w:rPr>
                <w:rFonts w:ascii="GalanoGrotesque-Regular" w:hAnsi="GalanoGrotesque-Regular" w:cs="Arial"/>
                <w:sz w:val="18"/>
                <w:szCs w:val="18"/>
              </w:rPr>
            </w:pPr>
          </w:p>
        </w:tc>
      </w:tr>
      <w:tr w:rsidR="00FD037D" w:rsidRPr="00713898" w:rsidTr="0072027F">
        <w:trPr>
          <w:trHeight w:hRule="exact" w:val="397"/>
        </w:trPr>
        <w:tc>
          <w:tcPr>
            <w:tcW w:w="570" w:type="dxa"/>
            <w:tcBorders>
              <w:left w:val="nil"/>
              <w:bottom w:val="nil"/>
              <w:right w:val="nil"/>
            </w:tcBorders>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p>
        </w:tc>
        <w:tc>
          <w:tcPr>
            <w:tcW w:w="1985" w:type="dxa"/>
            <w:tcBorders>
              <w:left w:val="nil"/>
              <w:bottom w:val="nil"/>
              <w:right w:val="nil"/>
            </w:tcBorders>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p>
        </w:tc>
        <w:tc>
          <w:tcPr>
            <w:tcW w:w="1409" w:type="dxa"/>
            <w:tcBorders>
              <w:left w:val="nil"/>
              <w:bottom w:val="nil"/>
            </w:tcBorders>
            <w:shd w:val="clear" w:color="auto" w:fill="FFFFFF" w:themeFill="background1"/>
            <w:vAlign w:val="center"/>
          </w:tcPr>
          <w:p w:rsidR="00FD037D" w:rsidRPr="00713898" w:rsidRDefault="00FD037D" w:rsidP="00FD037D">
            <w:pPr>
              <w:spacing w:line="276" w:lineRule="auto"/>
              <w:jc w:val="center"/>
              <w:rPr>
                <w:rFonts w:ascii="GalanoGrotesque-Regular" w:hAnsi="GalanoGrotesque-Regular" w:cs="Arial"/>
                <w:sz w:val="18"/>
                <w:szCs w:val="18"/>
              </w:rPr>
            </w:pPr>
          </w:p>
        </w:tc>
        <w:tc>
          <w:tcPr>
            <w:tcW w:w="5769" w:type="dxa"/>
            <w:shd w:val="clear" w:color="auto" w:fill="FFF2CC" w:themeFill="accent4" w:themeFillTint="33"/>
          </w:tcPr>
          <w:p w:rsidR="00FD037D" w:rsidRPr="00FD037D" w:rsidRDefault="00FD037D" w:rsidP="00FD037D">
            <w:pPr>
              <w:spacing w:line="276" w:lineRule="auto"/>
              <w:jc w:val="right"/>
              <w:rPr>
                <w:rFonts w:ascii="GalanoGrotesque-Regular" w:hAnsi="GalanoGrotesque-Regular" w:cs="Arial"/>
                <w:b/>
                <w:sz w:val="18"/>
                <w:szCs w:val="18"/>
              </w:rPr>
            </w:pPr>
            <w:r w:rsidRPr="00FD037D">
              <w:rPr>
                <w:rFonts w:ascii="GalanoGrotesque-Regular" w:hAnsi="GalanoGrotesque-Regular" w:cs="Arial"/>
                <w:b/>
                <w:sz w:val="18"/>
                <w:szCs w:val="18"/>
              </w:rPr>
              <w:t>TOTAL</w:t>
            </w:r>
          </w:p>
        </w:tc>
        <w:tc>
          <w:tcPr>
            <w:tcW w:w="1461" w:type="dxa"/>
            <w:shd w:val="clear" w:color="auto" w:fill="FFF2CC" w:themeFill="accent4" w:themeFillTint="33"/>
          </w:tcPr>
          <w:p w:rsidR="00FD037D" w:rsidRPr="00FD037D" w:rsidRDefault="00FD037D" w:rsidP="00FD037D">
            <w:pPr>
              <w:spacing w:line="276" w:lineRule="auto"/>
              <w:jc w:val="both"/>
              <w:rPr>
                <w:rFonts w:ascii="GalanoGrotesque-Regular" w:hAnsi="GalanoGrotesque-Regular" w:cs="Arial"/>
                <w:b/>
                <w:sz w:val="18"/>
                <w:szCs w:val="18"/>
              </w:rPr>
            </w:pPr>
            <w:r w:rsidRPr="00FD037D">
              <w:rPr>
                <w:rFonts w:ascii="GalanoGrotesque-Regular" w:hAnsi="GalanoGrotesque-Regular" w:cs="Arial"/>
                <w:b/>
                <w:sz w:val="18"/>
                <w:szCs w:val="18"/>
              </w:rPr>
              <w:t>1,350,000.00</w:t>
            </w:r>
          </w:p>
        </w:tc>
      </w:tr>
    </w:tbl>
    <w:p w:rsidR="00CE2BDC" w:rsidRPr="00713898" w:rsidRDefault="00CE2BDC" w:rsidP="002540F2">
      <w:pPr>
        <w:rPr>
          <w:rFonts w:ascii="GalanoGrotesque-SemiBold" w:hAnsi="GalanoGrotesque-SemiBold" w:cs="Arial"/>
          <w:b/>
          <w:sz w:val="18"/>
          <w:szCs w:val="18"/>
        </w:rPr>
      </w:pPr>
    </w:p>
    <w:sectPr w:rsidR="00CE2BDC" w:rsidRPr="00713898" w:rsidSect="0072027F">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993"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23" w:rsidRDefault="00DE5A23" w:rsidP="001A2D06">
      <w:r>
        <w:separator/>
      </w:r>
    </w:p>
  </w:endnote>
  <w:endnote w:type="continuationSeparator" w:id="0">
    <w:p w:rsidR="00DE5A23" w:rsidRDefault="00DE5A23" w:rsidP="001A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lanoGrotesque-SemiBold">
    <w:altName w:val="Arial"/>
    <w:panose1 w:val="00000000000000000000"/>
    <w:charset w:val="00"/>
    <w:family w:val="modern"/>
    <w:notTrueType/>
    <w:pitch w:val="variable"/>
    <w:sig w:usb0="00000001" w:usb1="00000000" w:usb2="00000000" w:usb3="00000000" w:csb0="00000093"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BF" w:rsidRDefault="002058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C6" w:rsidRDefault="00DE5A23">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334.6pt;margin-top:-18pt;width:178.75pt;height:42.1pt;z-index:251672576;mso-position-horizontal-relative:text;mso-position-vertical-relative:text">
          <v:imagedata r:id="rId1" o:title="domicilio_IVEM"/>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8BF" w:rsidRDefault="002058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23" w:rsidRDefault="00DE5A23" w:rsidP="001A2D06">
      <w:r>
        <w:separator/>
      </w:r>
    </w:p>
  </w:footnote>
  <w:footnote w:type="continuationSeparator" w:id="0">
    <w:p w:rsidR="00DE5A23" w:rsidRDefault="00DE5A23" w:rsidP="001A2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06" w:rsidRDefault="00DE5A23">
    <w:pPr>
      <w:pStyle w:val="Encabezado"/>
    </w:pPr>
    <w:r>
      <w:rPr>
        <w:noProof/>
      </w:rPr>
      <w:pict w14:anchorId="56B3E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7062" o:spid="_x0000_s2051" type="#_x0000_t75" alt="/Users/diseno/Desktop/MembratadaCGCS-2_Mesa de trabajo 1.png" style="position:absolute;margin-left:0;margin-top:0;width:635pt;height:827pt;z-index:-251653120;mso-wrap-edited:f;mso-width-percent:0;mso-height-percent:0;mso-position-horizontal:center;mso-position-horizontal-relative:margin;mso-position-vertical:center;mso-position-vertical-relative:margin;mso-width-percent:0;mso-height-percent:0" o:allowincell="f">
          <v:imagedata r:id="rId1" o:title="MembratadaCGCS-2_Mesa de trabaj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06" w:rsidRDefault="002058BF">
    <w:pPr>
      <w:pStyle w:val="Encabezado"/>
    </w:pPr>
    <w:r>
      <w:rPr>
        <w:noProof/>
        <w:lang w:eastAsia="es-MX"/>
      </w:rPr>
      <w:drawing>
        <wp:anchor distT="0" distB="0" distL="114300" distR="114300" simplePos="0" relativeHeight="251674624" behindDoc="0" locked="0" layoutInCell="1" allowOverlap="1" wp14:anchorId="43546F59" wp14:editId="194085CC">
          <wp:simplePos x="0" y="0"/>
          <wp:positionH relativeFrom="margin">
            <wp:posOffset>7080885</wp:posOffset>
          </wp:positionH>
          <wp:positionV relativeFrom="paragraph">
            <wp:posOffset>-198120</wp:posOffset>
          </wp:positionV>
          <wp:extent cx="1918970" cy="621030"/>
          <wp:effectExtent l="0" t="0" r="508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18970" cy="621030"/>
                  </a:xfrm>
                  <a:prstGeom prst="rect">
                    <a:avLst/>
                  </a:prstGeom>
                </pic:spPr>
              </pic:pic>
            </a:graphicData>
          </a:graphic>
          <wp14:sizeRelH relativeFrom="page">
            <wp14:pctWidth>0</wp14:pctWidth>
          </wp14:sizeRelH>
          <wp14:sizeRelV relativeFrom="page">
            <wp14:pctHeight>0</wp14:pctHeight>
          </wp14:sizeRelV>
        </wp:anchor>
      </w:drawing>
    </w:r>
    <w:r w:rsidR="00DE5A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59.55pt;margin-top:-17.6pt;width:232.8pt;height:61.35pt;z-index:251668480;mso-position-horizontal-relative:text;mso-position-vertical-relative:text">
          <v:imagedata r:id="rId2" o:title="logo ivem-01"/>
        </v:shape>
      </w:pict>
    </w:r>
    <w:r w:rsidR="00DE5A23">
      <w:rPr>
        <w:noProof/>
      </w:rPr>
      <w:pict w14:anchorId="305E1F6C">
        <v:shape id="WordPictureWatermark18317063" o:spid="_x0000_s2050" type="#_x0000_t75" alt="/Users/diseno/Desktop/MembratadaCGCS-2_Mesa de trabajo 1.png" style="position:absolute;margin-left:0;margin-top:0;width:635pt;height:827pt;z-index:-251650048;mso-wrap-edited:f;mso-width-percent:0;mso-height-percent:0;mso-position-horizontal:center;mso-position-horizontal-relative:margin;mso-position-vertical:center;mso-position-vertical-relative:margin;mso-width-percent:0;mso-height-percent:0" o:allowincell="f">
          <v:imagedata r:id="rId3" o:title="MembratadaCGCS-2_Mesa de trabaj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06" w:rsidRDefault="00DE5A23">
    <w:pPr>
      <w:pStyle w:val="Encabezado"/>
    </w:pPr>
    <w:r>
      <w:rPr>
        <w:noProof/>
      </w:rPr>
      <w:pict w14:anchorId="4073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7061" o:spid="_x0000_s2049" type="#_x0000_t75" alt="/Users/diseno/Desktop/MembratadaCGCS-2_Mesa de trabajo 1.png" style="position:absolute;margin-left:0;margin-top:0;width:635pt;height:827pt;z-index:-251656192;mso-wrap-edited:f;mso-width-percent:0;mso-height-percent:0;mso-position-horizontal:center;mso-position-horizontal-relative:margin;mso-position-vertical:center;mso-position-vertical-relative:margin;mso-width-percent:0;mso-height-percent:0" o:allowincell="f">
          <v:imagedata r:id="rId1" o:title="MembratadaCGCS-2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A7C9E"/>
    <w:multiLevelType w:val="hybridMultilevel"/>
    <w:tmpl w:val="239C6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0E521E0"/>
    <w:multiLevelType w:val="hybridMultilevel"/>
    <w:tmpl w:val="9670C7D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nsid w:val="797553D4"/>
    <w:multiLevelType w:val="multilevel"/>
    <w:tmpl w:val="6CA6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06"/>
    <w:rsid w:val="000430C0"/>
    <w:rsid w:val="00063F7E"/>
    <w:rsid w:val="00083C54"/>
    <w:rsid w:val="00093CC0"/>
    <w:rsid w:val="000A3950"/>
    <w:rsid w:val="000B69BA"/>
    <w:rsid w:val="00117E48"/>
    <w:rsid w:val="001306F6"/>
    <w:rsid w:val="00134840"/>
    <w:rsid w:val="0014215C"/>
    <w:rsid w:val="001431BD"/>
    <w:rsid w:val="001907A5"/>
    <w:rsid w:val="00197EC8"/>
    <w:rsid w:val="001A2D06"/>
    <w:rsid w:val="001B2929"/>
    <w:rsid w:val="001C2F1D"/>
    <w:rsid w:val="001C74EF"/>
    <w:rsid w:val="001D347F"/>
    <w:rsid w:val="001F70DC"/>
    <w:rsid w:val="002058BF"/>
    <w:rsid w:val="0020742A"/>
    <w:rsid w:val="002118DC"/>
    <w:rsid w:val="00212B22"/>
    <w:rsid w:val="002147D0"/>
    <w:rsid w:val="00224DD4"/>
    <w:rsid w:val="00242256"/>
    <w:rsid w:val="002473E8"/>
    <w:rsid w:val="002540F2"/>
    <w:rsid w:val="00281E98"/>
    <w:rsid w:val="002A089F"/>
    <w:rsid w:val="002A3F44"/>
    <w:rsid w:val="002B6C5D"/>
    <w:rsid w:val="002C48C6"/>
    <w:rsid w:val="002C513F"/>
    <w:rsid w:val="002C7198"/>
    <w:rsid w:val="002D74F0"/>
    <w:rsid w:val="002F0739"/>
    <w:rsid w:val="00300686"/>
    <w:rsid w:val="003255EE"/>
    <w:rsid w:val="00330009"/>
    <w:rsid w:val="0035102E"/>
    <w:rsid w:val="003579F1"/>
    <w:rsid w:val="003632F6"/>
    <w:rsid w:val="00370755"/>
    <w:rsid w:val="003854D9"/>
    <w:rsid w:val="003A249B"/>
    <w:rsid w:val="003B684D"/>
    <w:rsid w:val="003C193B"/>
    <w:rsid w:val="003D2DBB"/>
    <w:rsid w:val="003F67FD"/>
    <w:rsid w:val="003F6B8A"/>
    <w:rsid w:val="00406186"/>
    <w:rsid w:val="00411A80"/>
    <w:rsid w:val="00434BF8"/>
    <w:rsid w:val="00435E1A"/>
    <w:rsid w:val="00437CD0"/>
    <w:rsid w:val="00445298"/>
    <w:rsid w:val="00477B92"/>
    <w:rsid w:val="004B3540"/>
    <w:rsid w:val="004C105C"/>
    <w:rsid w:val="004E1C45"/>
    <w:rsid w:val="004F10E6"/>
    <w:rsid w:val="004F2A93"/>
    <w:rsid w:val="005013F2"/>
    <w:rsid w:val="00506E48"/>
    <w:rsid w:val="0051699D"/>
    <w:rsid w:val="00535D4C"/>
    <w:rsid w:val="0054179F"/>
    <w:rsid w:val="00545665"/>
    <w:rsid w:val="0055531D"/>
    <w:rsid w:val="005710FA"/>
    <w:rsid w:val="00597D9F"/>
    <w:rsid w:val="005B0236"/>
    <w:rsid w:val="005C03AF"/>
    <w:rsid w:val="005C35B0"/>
    <w:rsid w:val="005D3DCF"/>
    <w:rsid w:val="005F67DA"/>
    <w:rsid w:val="0060462A"/>
    <w:rsid w:val="006239F6"/>
    <w:rsid w:val="00627EB2"/>
    <w:rsid w:val="006336CE"/>
    <w:rsid w:val="006531F3"/>
    <w:rsid w:val="0065552E"/>
    <w:rsid w:val="00662E54"/>
    <w:rsid w:val="00670554"/>
    <w:rsid w:val="00675F7C"/>
    <w:rsid w:val="00687ED0"/>
    <w:rsid w:val="006B55CC"/>
    <w:rsid w:val="006C691D"/>
    <w:rsid w:val="006D6E4D"/>
    <w:rsid w:val="007125E4"/>
    <w:rsid w:val="007133E4"/>
    <w:rsid w:val="00713898"/>
    <w:rsid w:val="0072027F"/>
    <w:rsid w:val="00726EA2"/>
    <w:rsid w:val="007328F6"/>
    <w:rsid w:val="00750B86"/>
    <w:rsid w:val="00755BE0"/>
    <w:rsid w:val="0076570C"/>
    <w:rsid w:val="00765923"/>
    <w:rsid w:val="007758A0"/>
    <w:rsid w:val="007F0197"/>
    <w:rsid w:val="007F7C4A"/>
    <w:rsid w:val="008179CF"/>
    <w:rsid w:val="00820EA5"/>
    <w:rsid w:val="008276B9"/>
    <w:rsid w:val="00833E3C"/>
    <w:rsid w:val="008357D1"/>
    <w:rsid w:val="0083688B"/>
    <w:rsid w:val="00837D30"/>
    <w:rsid w:val="00840F77"/>
    <w:rsid w:val="00856E95"/>
    <w:rsid w:val="00863EB2"/>
    <w:rsid w:val="00886D47"/>
    <w:rsid w:val="008A349E"/>
    <w:rsid w:val="008C0132"/>
    <w:rsid w:val="008C04F6"/>
    <w:rsid w:val="008C18EF"/>
    <w:rsid w:val="008F0A24"/>
    <w:rsid w:val="009435E0"/>
    <w:rsid w:val="00947748"/>
    <w:rsid w:val="009519FA"/>
    <w:rsid w:val="009B701A"/>
    <w:rsid w:val="009D667C"/>
    <w:rsid w:val="00A10C82"/>
    <w:rsid w:val="00A129B0"/>
    <w:rsid w:val="00A201A1"/>
    <w:rsid w:val="00A5186A"/>
    <w:rsid w:val="00A730AE"/>
    <w:rsid w:val="00A857A0"/>
    <w:rsid w:val="00A90874"/>
    <w:rsid w:val="00AA1962"/>
    <w:rsid w:val="00AA27FF"/>
    <w:rsid w:val="00AC60AB"/>
    <w:rsid w:val="00AC683E"/>
    <w:rsid w:val="00AD36F7"/>
    <w:rsid w:val="00AE6017"/>
    <w:rsid w:val="00B059F2"/>
    <w:rsid w:val="00B2236C"/>
    <w:rsid w:val="00B40BFD"/>
    <w:rsid w:val="00B450EE"/>
    <w:rsid w:val="00B8365D"/>
    <w:rsid w:val="00B837F0"/>
    <w:rsid w:val="00B84A56"/>
    <w:rsid w:val="00B87F5B"/>
    <w:rsid w:val="00BA559A"/>
    <w:rsid w:val="00BC61A3"/>
    <w:rsid w:val="00BF6E36"/>
    <w:rsid w:val="00C00D4B"/>
    <w:rsid w:val="00C429AE"/>
    <w:rsid w:val="00C55812"/>
    <w:rsid w:val="00CC311C"/>
    <w:rsid w:val="00CD1719"/>
    <w:rsid w:val="00CE240C"/>
    <w:rsid w:val="00CE2BDC"/>
    <w:rsid w:val="00CF4AC3"/>
    <w:rsid w:val="00CF58CE"/>
    <w:rsid w:val="00D03666"/>
    <w:rsid w:val="00D14F66"/>
    <w:rsid w:val="00D21410"/>
    <w:rsid w:val="00D22D5E"/>
    <w:rsid w:val="00D24B6A"/>
    <w:rsid w:val="00D31D83"/>
    <w:rsid w:val="00D46BAF"/>
    <w:rsid w:val="00D52FA5"/>
    <w:rsid w:val="00D6281D"/>
    <w:rsid w:val="00D64836"/>
    <w:rsid w:val="00D70218"/>
    <w:rsid w:val="00DA24B5"/>
    <w:rsid w:val="00DB5BA9"/>
    <w:rsid w:val="00DB7C9C"/>
    <w:rsid w:val="00DC3BC1"/>
    <w:rsid w:val="00DD0160"/>
    <w:rsid w:val="00DD72B0"/>
    <w:rsid w:val="00DE5A23"/>
    <w:rsid w:val="00DF3D19"/>
    <w:rsid w:val="00E0237F"/>
    <w:rsid w:val="00E35B60"/>
    <w:rsid w:val="00E4231A"/>
    <w:rsid w:val="00E4552B"/>
    <w:rsid w:val="00E6660F"/>
    <w:rsid w:val="00E704AC"/>
    <w:rsid w:val="00E72EFE"/>
    <w:rsid w:val="00E74D13"/>
    <w:rsid w:val="00E94E9D"/>
    <w:rsid w:val="00EC265E"/>
    <w:rsid w:val="00EC6C9B"/>
    <w:rsid w:val="00ED0189"/>
    <w:rsid w:val="00EE4F01"/>
    <w:rsid w:val="00EE51CE"/>
    <w:rsid w:val="00F220FF"/>
    <w:rsid w:val="00F261C9"/>
    <w:rsid w:val="00F33A99"/>
    <w:rsid w:val="00F4339C"/>
    <w:rsid w:val="00F57796"/>
    <w:rsid w:val="00F77E9B"/>
    <w:rsid w:val="00F80825"/>
    <w:rsid w:val="00FA76C4"/>
    <w:rsid w:val="00FB1E21"/>
    <w:rsid w:val="00FC07D0"/>
    <w:rsid w:val="00FD037D"/>
    <w:rsid w:val="00FE2595"/>
    <w:rsid w:val="00FE4515"/>
    <w:rsid w:val="00FE7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0A8E1DBC-70EB-1741-BA12-D16AA652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D06"/>
    <w:pPr>
      <w:tabs>
        <w:tab w:val="center" w:pos="4419"/>
        <w:tab w:val="right" w:pos="8838"/>
      </w:tabs>
    </w:pPr>
  </w:style>
  <w:style w:type="character" w:customStyle="1" w:styleId="EncabezadoCar">
    <w:name w:val="Encabezado Car"/>
    <w:basedOn w:val="Fuentedeprrafopredeter"/>
    <w:link w:val="Encabezado"/>
    <w:uiPriority w:val="99"/>
    <w:rsid w:val="001A2D06"/>
  </w:style>
  <w:style w:type="paragraph" w:styleId="Piedepgina">
    <w:name w:val="footer"/>
    <w:basedOn w:val="Normal"/>
    <w:link w:val="PiedepginaCar"/>
    <w:uiPriority w:val="99"/>
    <w:unhideWhenUsed/>
    <w:rsid w:val="001A2D06"/>
    <w:pPr>
      <w:tabs>
        <w:tab w:val="center" w:pos="4419"/>
        <w:tab w:val="right" w:pos="8838"/>
      </w:tabs>
    </w:pPr>
  </w:style>
  <w:style w:type="character" w:customStyle="1" w:styleId="PiedepginaCar">
    <w:name w:val="Pie de página Car"/>
    <w:basedOn w:val="Fuentedeprrafopredeter"/>
    <w:link w:val="Piedepgina"/>
    <w:uiPriority w:val="99"/>
    <w:rsid w:val="001A2D06"/>
  </w:style>
  <w:style w:type="paragraph" w:styleId="Textodeglobo">
    <w:name w:val="Balloon Text"/>
    <w:basedOn w:val="Normal"/>
    <w:link w:val="TextodegloboCar"/>
    <w:uiPriority w:val="99"/>
    <w:semiHidden/>
    <w:unhideWhenUsed/>
    <w:rsid w:val="00AA27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7FF"/>
    <w:rPr>
      <w:rFonts w:ascii="Segoe UI" w:hAnsi="Segoe UI" w:cs="Segoe UI"/>
      <w:sz w:val="18"/>
      <w:szCs w:val="18"/>
    </w:rPr>
  </w:style>
  <w:style w:type="table" w:styleId="Tablaconcuadrcula">
    <w:name w:val="Table Grid"/>
    <w:basedOn w:val="Tablanormal"/>
    <w:uiPriority w:val="39"/>
    <w:rsid w:val="00820EA5"/>
    <w:rPr>
      <w:rFonts w:eastAsiaTheme="minorEastAsia"/>
      <w:sz w:val="22"/>
      <w:szCs w:val="22"/>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094172919size">
    <w:name w:val="x_-1094172919size"/>
    <w:basedOn w:val="Fuentedeprrafopredeter"/>
    <w:rsid w:val="008F0A24"/>
  </w:style>
  <w:style w:type="paragraph" w:styleId="Prrafodelista">
    <w:name w:val="List Paragraph"/>
    <w:basedOn w:val="Normal"/>
    <w:uiPriority w:val="34"/>
    <w:qFormat/>
    <w:rsid w:val="000B69BA"/>
    <w:pPr>
      <w:ind w:left="720"/>
      <w:contextualSpacing/>
    </w:pPr>
  </w:style>
  <w:style w:type="paragraph" w:styleId="Textoindependiente">
    <w:name w:val="Body Text"/>
    <w:basedOn w:val="Normal"/>
    <w:link w:val="TextoindependienteCar"/>
    <w:uiPriority w:val="99"/>
    <w:rsid w:val="00370755"/>
    <w:pPr>
      <w:jc w:val="both"/>
    </w:pPr>
    <w:rPr>
      <w:rFonts w:ascii="Arial" w:eastAsia="Times New Roman" w:hAnsi="Arial" w:cs="Times New Roman"/>
      <w:sz w:val="32"/>
      <w:szCs w:val="20"/>
      <w:lang w:eastAsia="es-ES"/>
    </w:rPr>
  </w:style>
  <w:style w:type="character" w:customStyle="1" w:styleId="TextoindependienteCar">
    <w:name w:val="Texto independiente Car"/>
    <w:basedOn w:val="Fuentedeprrafopredeter"/>
    <w:link w:val="Textoindependiente"/>
    <w:uiPriority w:val="99"/>
    <w:rsid w:val="00370755"/>
    <w:rPr>
      <w:rFonts w:ascii="Arial" w:eastAsia="Times New Roman" w:hAnsi="Arial" w:cs="Times New Roman"/>
      <w:sz w:val="32"/>
      <w:szCs w:val="20"/>
      <w:lang w:eastAsia="es-ES"/>
    </w:rPr>
  </w:style>
  <w:style w:type="paragraph" w:customStyle="1" w:styleId="Texto">
    <w:name w:val="Texto"/>
    <w:basedOn w:val="Normal"/>
    <w:link w:val="TextoCar"/>
    <w:rsid w:val="00AD36F7"/>
    <w:pPr>
      <w:spacing w:after="101" w:line="216" w:lineRule="exact"/>
      <w:ind w:firstLine="288"/>
      <w:jc w:val="both"/>
    </w:pPr>
    <w:rPr>
      <w:rFonts w:ascii="Arial" w:eastAsia="Times New Roman" w:hAnsi="Arial" w:cs="Times New Roman"/>
      <w:sz w:val="18"/>
      <w:szCs w:val="18"/>
      <w:lang w:val="x-none" w:eastAsia="x-none"/>
    </w:rPr>
  </w:style>
  <w:style w:type="character" w:customStyle="1" w:styleId="TextoCar">
    <w:name w:val="Texto Car"/>
    <w:link w:val="Texto"/>
    <w:locked/>
    <w:rsid w:val="00AD36F7"/>
    <w:rPr>
      <w:rFonts w:ascii="Arial" w:eastAsia="Times New Roman" w:hAnsi="Arial" w:cs="Times New Roman"/>
      <w:sz w:val="18"/>
      <w:szCs w:val="18"/>
      <w:lang w:val="x-none" w:eastAsia="x-none"/>
    </w:rPr>
  </w:style>
  <w:style w:type="paragraph" w:customStyle="1" w:styleId="ANOTACION">
    <w:name w:val="ANOTACION"/>
    <w:basedOn w:val="Normal"/>
    <w:link w:val="ANOTACIONCar"/>
    <w:rsid w:val="00AD36F7"/>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AD36F7"/>
    <w:rPr>
      <w:rFonts w:ascii="Times New Roman" w:eastAsia="Times New Roman" w:hAnsi="Times New Roman" w:cs="Times New Roman"/>
      <w:b/>
      <w:sz w:val="18"/>
      <w:szCs w:val="18"/>
      <w:lang w:val="x-none" w:eastAsia="x-none"/>
    </w:rPr>
  </w:style>
  <w:style w:type="character" w:styleId="Hipervnculo">
    <w:name w:val="Hyperlink"/>
    <w:basedOn w:val="Fuentedeprrafopredeter"/>
    <w:uiPriority w:val="99"/>
    <w:unhideWhenUsed/>
    <w:rsid w:val="00837D30"/>
    <w:rPr>
      <w:color w:val="0563C1" w:themeColor="hyperlink"/>
      <w:u w:val="single"/>
    </w:rPr>
  </w:style>
  <w:style w:type="table" w:customStyle="1" w:styleId="Tablaconcuadrcula1">
    <w:name w:val="Tabla con cuadrícula1"/>
    <w:basedOn w:val="Tablanormal"/>
    <w:next w:val="Tablaconcuadrcula"/>
    <w:uiPriority w:val="59"/>
    <w:rsid w:val="008A349E"/>
    <w:rPr>
      <w:rFonts w:eastAsiaTheme="minorEastAsia"/>
      <w:sz w:val="22"/>
      <w:szCs w:val="22"/>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63328">
      <w:bodyDiv w:val="1"/>
      <w:marLeft w:val="0"/>
      <w:marRight w:val="0"/>
      <w:marTop w:val="0"/>
      <w:marBottom w:val="0"/>
      <w:divBdr>
        <w:top w:val="none" w:sz="0" w:space="0" w:color="auto"/>
        <w:left w:val="none" w:sz="0" w:space="0" w:color="auto"/>
        <w:bottom w:val="none" w:sz="0" w:space="0" w:color="auto"/>
        <w:right w:val="none" w:sz="0" w:space="0" w:color="auto"/>
      </w:divBdr>
      <w:divsChild>
        <w:div w:id="1993560032">
          <w:marLeft w:val="0"/>
          <w:marRight w:val="0"/>
          <w:marTop w:val="0"/>
          <w:marBottom w:val="0"/>
          <w:divBdr>
            <w:top w:val="none" w:sz="0" w:space="0" w:color="auto"/>
            <w:left w:val="none" w:sz="0" w:space="0" w:color="auto"/>
            <w:bottom w:val="none" w:sz="0" w:space="0" w:color="auto"/>
            <w:right w:val="none" w:sz="0" w:space="0" w:color="auto"/>
          </w:divBdr>
        </w:div>
        <w:div w:id="1567719122">
          <w:marLeft w:val="0"/>
          <w:marRight w:val="0"/>
          <w:marTop w:val="0"/>
          <w:marBottom w:val="0"/>
          <w:divBdr>
            <w:top w:val="none" w:sz="0" w:space="0" w:color="auto"/>
            <w:left w:val="none" w:sz="0" w:space="0" w:color="auto"/>
            <w:bottom w:val="none" w:sz="0" w:space="0" w:color="auto"/>
            <w:right w:val="none" w:sz="0" w:space="0" w:color="auto"/>
          </w:divBdr>
        </w:div>
        <w:div w:id="1156611895">
          <w:marLeft w:val="0"/>
          <w:marRight w:val="0"/>
          <w:marTop w:val="0"/>
          <w:marBottom w:val="0"/>
          <w:divBdr>
            <w:top w:val="none" w:sz="0" w:space="0" w:color="auto"/>
            <w:left w:val="none" w:sz="0" w:space="0" w:color="auto"/>
            <w:bottom w:val="none" w:sz="0" w:space="0" w:color="auto"/>
            <w:right w:val="none" w:sz="0" w:space="0" w:color="auto"/>
          </w:divBdr>
        </w:div>
        <w:div w:id="377432083">
          <w:marLeft w:val="0"/>
          <w:marRight w:val="0"/>
          <w:marTop w:val="0"/>
          <w:marBottom w:val="0"/>
          <w:divBdr>
            <w:top w:val="none" w:sz="0" w:space="0" w:color="auto"/>
            <w:left w:val="none" w:sz="0" w:space="0" w:color="auto"/>
            <w:bottom w:val="none" w:sz="0" w:space="0" w:color="auto"/>
            <w:right w:val="none" w:sz="0" w:space="0" w:color="auto"/>
          </w:divBdr>
        </w:div>
        <w:div w:id="1494687877">
          <w:marLeft w:val="0"/>
          <w:marRight w:val="0"/>
          <w:marTop w:val="0"/>
          <w:marBottom w:val="0"/>
          <w:divBdr>
            <w:top w:val="none" w:sz="0" w:space="0" w:color="auto"/>
            <w:left w:val="none" w:sz="0" w:space="0" w:color="auto"/>
            <w:bottom w:val="none" w:sz="0" w:space="0" w:color="auto"/>
            <w:right w:val="none" w:sz="0" w:space="0" w:color="auto"/>
          </w:divBdr>
          <w:divsChild>
            <w:div w:id="2134714415">
              <w:marLeft w:val="0"/>
              <w:marRight w:val="0"/>
              <w:marTop w:val="0"/>
              <w:marBottom w:val="0"/>
              <w:divBdr>
                <w:top w:val="none" w:sz="0" w:space="0" w:color="auto"/>
                <w:left w:val="none" w:sz="0" w:space="0" w:color="auto"/>
                <w:bottom w:val="none" w:sz="0" w:space="0" w:color="auto"/>
                <w:right w:val="none" w:sz="0" w:space="0" w:color="auto"/>
              </w:divBdr>
            </w:div>
            <w:div w:id="919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3094">
      <w:bodyDiv w:val="1"/>
      <w:marLeft w:val="0"/>
      <w:marRight w:val="0"/>
      <w:marTop w:val="0"/>
      <w:marBottom w:val="0"/>
      <w:divBdr>
        <w:top w:val="none" w:sz="0" w:space="0" w:color="auto"/>
        <w:left w:val="none" w:sz="0" w:space="0" w:color="auto"/>
        <w:bottom w:val="none" w:sz="0" w:space="0" w:color="auto"/>
        <w:right w:val="none" w:sz="0" w:space="0" w:color="auto"/>
      </w:divBdr>
    </w:div>
    <w:div w:id="1346440695">
      <w:bodyDiv w:val="1"/>
      <w:marLeft w:val="0"/>
      <w:marRight w:val="0"/>
      <w:marTop w:val="0"/>
      <w:marBottom w:val="0"/>
      <w:divBdr>
        <w:top w:val="none" w:sz="0" w:space="0" w:color="auto"/>
        <w:left w:val="none" w:sz="0" w:space="0" w:color="auto"/>
        <w:bottom w:val="none" w:sz="0" w:space="0" w:color="auto"/>
        <w:right w:val="none" w:sz="0" w:space="0" w:color="auto"/>
      </w:divBdr>
    </w:div>
    <w:div w:id="17706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IVEM</cp:lastModifiedBy>
  <cp:revision>2</cp:revision>
  <cp:lastPrinted>2021-02-09T17:35:00Z</cp:lastPrinted>
  <dcterms:created xsi:type="dcterms:W3CDTF">2021-04-26T19:31:00Z</dcterms:created>
  <dcterms:modified xsi:type="dcterms:W3CDTF">2021-04-26T19:31:00Z</dcterms:modified>
</cp:coreProperties>
</file>